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E6C60D6">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April 1956, Draft Charter of Youth Amateur Sports Schools&gt; – 1 Coded Reference [6.19% Coverage]</w:t>
      </w:r>
    </w:p>
    <w:p w14:paraId="113A8876">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1 (6.19%)</w:t>
      </w:r>
      <w:r>
        <w:rPr>
          <w:rFonts w:hint="default" w:ascii="Times New Roman" w:hAnsi="Times New Roman" w:cs="Times New Roman"/>
        </w:rPr>
        <w:br w:type="textWrapping"/>
      </w:r>
      <w:r>
        <w:rPr>
          <w:rFonts w:hint="default" w:ascii="Times New Roman" w:hAnsi="Times New Roman" w:cs="Times New Roman"/>
        </w:rPr>
        <w:t>Article 3: Youth Amateur Sports Schools shall be established by the Sports Commission (hereinafter referred to as the Sports Commission) and sports associations. Schools organized by sports associations must be filed with the local Sports Commission. Sports Commissions at all levels are responsible for supervising, inspecting, and assisting Youth Amateur Sports Schools within their respective jurisdictions.</w:t>
      </w:r>
    </w:p>
    <w:p w14:paraId="2FAF9C03">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18DE72C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April 1956, Draft Charter of Juvenile Amateur Sports Schools&gt; – 1 Coded Reference [6.80% Coverage]</w:t>
      </w:r>
    </w:p>
    <w:p w14:paraId="0B2BD7D2">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1 (6.80%)</w:t>
      </w:r>
      <w:r>
        <w:rPr>
          <w:rFonts w:hint="default" w:ascii="Times New Roman" w:hAnsi="Times New Roman" w:cs="Times New Roman"/>
        </w:rPr>
        <w:br w:type="textWrapping"/>
      </w:r>
      <w:r>
        <w:rPr>
          <w:rFonts w:hint="default" w:ascii="Times New Roman" w:hAnsi="Times New Roman" w:cs="Times New Roman"/>
        </w:rPr>
        <w:t>Article 3: Juvenile Amateur Sports Schools may be established by the Sports Commission, sports associations, educational administrative departments, or other relevant institutions. Schools established by these entities must be filed with the local Sports Commission. Sports Commissions at all levels are responsible for supervision, inspection, and assistance.</w:t>
      </w:r>
    </w:p>
    <w:p w14:paraId="49C88E3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6370AB03">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1963, Notice on the Trial Regulations for Sports Teams&gt; – 1 Coded Reference [12.30% Coverage]</w:t>
      </w:r>
    </w:p>
    <w:p w14:paraId="6D3E7645">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Reserve talent for sports teams should be vigorously cultivated. Individuals with athletic potential should be selected and trained through youth amateur sports schools, national defense sports clubs, schools, factories and mines, grassroots representative teams, and municipal or county-level amateur teams. Youth amateur sports schools, in particular, serve as an important base for cultivating outstanding reserve athletes, and sports teams should strengthen their guidance. Provincial, municipal, and autonomous regional Sports Commissions should provide full support to the People’s Liberation Army in selecting and cultivating outstanding athletes.</w:t>
      </w:r>
    </w:p>
    <w:p w14:paraId="0FB8D6A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78E47E5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September 1964, Trial Regulations on Youth Amateur Sports Schools&gt; – 2 Coded References [12.57% Coverage]</w:t>
      </w:r>
    </w:p>
    <w:p w14:paraId="6C8EB8BF">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1 (8.16%)</w:t>
      </w:r>
      <w:r>
        <w:rPr>
          <w:rFonts w:hint="default" w:ascii="Times New Roman" w:hAnsi="Times New Roman" w:cs="Times New Roman"/>
        </w:rPr>
        <w:br w:type="textWrapping"/>
      </w:r>
      <w:r>
        <w:rPr>
          <w:rFonts w:hint="default" w:ascii="Times New Roman" w:hAnsi="Times New Roman" w:cs="Times New Roman"/>
        </w:rPr>
        <w:t>Youth amateur sports schools are primarily established by Sports Commissions at all levels, sports venues, national defense sports clubs, youth organizations, and children’s centers. Qualified schools and factories may also establish such schools where conditions permit. Provincial, municipal, and autonomous regional Sports Commissions should prioritize the development of key youth amateur sports schools and directly operate one or two to gain experience and provide guidance. School organization should adhere to the principle of amateur training while adapting flexibly to local conditions.</w:t>
      </w:r>
    </w:p>
    <w:p w14:paraId="77BF00DA">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2 (4.41%)</w:t>
      </w:r>
      <w:r>
        <w:rPr>
          <w:rFonts w:hint="default" w:ascii="Times New Roman" w:hAnsi="Times New Roman" w:cs="Times New Roman"/>
        </w:rPr>
        <w:br w:type="textWrapping"/>
      </w:r>
      <w:r>
        <w:rPr>
          <w:rFonts w:hint="default" w:ascii="Times New Roman" w:hAnsi="Times New Roman" w:cs="Times New Roman"/>
        </w:rPr>
        <w:t>Administratively, youth amateur sports schools are under the leadership of their respective supervising authorities and professionally guided by the Sports Commission. Local Sports Commissions have the authority to inspect and supervise schools within their jurisdictions, assist in resolving difficulties, and support relevant departments in effectively managing these institutions.</w:t>
      </w:r>
    </w:p>
    <w:p w14:paraId="165C42F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7D82C6E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February 1974, Key Points of Sports Work&gt; – 1 Coded Reference [35.75% Coverage]</w:t>
      </w:r>
    </w:p>
    <w:p w14:paraId="63A03C97">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Efforts should be intensified to develop and effectively manage children’s amateur sports schools. Provincial, municipal, and autonomous regional Sports Commissions, in consultation with educational departments, should establish at least one or two key children’s amateur sports schools. Other qualified institutions may also establish such schools. The ratio between students in key amateur sports schools (or classes) and elite athletes should reach 1:1, and in areas with a stronger foundation, 2:1 or higher. Key amateur sports schools should establish linkage mechanisms with elite sports teams to exchange experience and better align talent selection and training with the requirements of elite teams.</w:t>
      </w:r>
    </w:p>
    <w:p w14:paraId="490D117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693923A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1979, Charter of Children’s Amateur Sports Schools&gt; – 1 Coded Reference [3.31% Coverage]</w:t>
      </w:r>
    </w:p>
    <w:p w14:paraId="243EC33B">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Amateur sports schools shall be established by Sports Commissions at all levels, with educational departments actively assisting in their operation. Jointly established schools may continue where appropriate. Sports venues, sports institutes, physical education departments, universities, youth centers, factories and mines, enterprises, and people’s communes may also establish such schools. Schools established by other departments are administratively led by their supervising authorities, while their teaching and training activities are guided by the local Sports Commission.</w:t>
      </w:r>
    </w:p>
    <w:p w14:paraId="4C1360E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79859F9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1980, Several Issues Concerning the Construction of Elite Sports Teams&gt; – 1 Coded Reference [96.40% Coverage]</w:t>
      </w:r>
    </w:p>
    <w:p w14:paraId="6C745A9B">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Sports teams should be structured into a three-tier system consisting of elite teams (first line), amateur sports schools and sports secondary schools (second line), and school-based teams (third line), gradually forming a training network characterized by a broad foundation, high-quality elite talent, proportional development, and seamless progression.</w:t>
      </w:r>
    </w:p>
    <w:p w14:paraId="2D0149D3">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Elite teams serve as the main force in domestic and international competitions and must be given priority support. It is essential to end the practice of elite teams directly training first-, second-, and even third-line squads from scratch. Within two to three years, recruitment into elite teams must be limited to athletes who have undergone systematic amateur training.</w:t>
      </w:r>
    </w:p>
    <w:p w14:paraId="19539037">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Second-line teams consist of amateur sports schools and sports secondary schools (or sports schools), serving as the immediate reserve for elite teams. Third-line teams are school-based teams, forming the broader foundation of the sports system. Both second- and third-line teams must continuously cultivate and supply talent to first-line teams.</w:t>
      </w:r>
    </w:p>
    <w:p w14:paraId="7A7D51C1">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Elite teams should assign approximately one-tenth of their coaches to provide regular technical guidance at amateur sports schools and school training sites, with some serving one- to two-year rotations while retaining their original待遇.</w:t>
      </w:r>
    </w:p>
    <w:p w14:paraId="22350C20">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Under the leadership of Sports Commissions at all levels, single-sport associations may convene joint meetings of elite team and amateur school coaches to coordinate training plans, talent selection criteria, and instructional outlines, and to provide ongoing supervision and guidance at all levels of training.</w:t>
      </w:r>
    </w:p>
    <w:p w14:paraId="711C365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4EC1E7B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November 1983, Trial Measures for Traditional Sports Schools&gt; – 3 Coded References [13.80% Coverage]</w:t>
      </w:r>
    </w:p>
    <w:p w14:paraId="27238480">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1 (4.12%)</w:t>
      </w:r>
      <w:r>
        <w:rPr>
          <w:rFonts w:hint="default" w:ascii="Times New Roman" w:hAnsi="Times New Roman" w:cs="Times New Roman"/>
        </w:rPr>
        <w:br w:type="textWrapping"/>
      </w:r>
      <w:r>
        <w:rPr>
          <w:rFonts w:hint="default" w:ascii="Times New Roman" w:hAnsi="Times New Roman" w:cs="Times New Roman"/>
        </w:rPr>
        <w:t>Traditional sports schools shall be jointly reviewed and planned by municipal (prefecture-level) sports and education departments and officially designated by provincial sports and education authorities. The designation is valid for three years.</w:t>
      </w:r>
    </w:p>
    <w:p w14:paraId="0C29B64F">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2 (5.23%)</w:t>
      </w:r>
      <w:r>
        <w:rPr>
          <w:rFonts w:hint="default" w:ascii="Times New Roman" w:hAnsi="Times New Roman" w:cs="Times New Roman"/>
        </w:rPr>
        <w:br w:type="textWrapping"/>
      </w:r>
      <w:r>
        <w:rPr>
          <w:rFonts w:hint="default" w:ascii="Times New Roman" w:hAnsi="Times New Roman" w:cs="Times New Roman"/>
        </w:rPr>
        <w:t>Sports and education departments at all levels shall regularly organize exchanges of experience in teaching and training among traditional sports schools, commend outstanding schools and individuals, and hold competitions in various forms and at different levels.</w:t>
      </w:r>
    </w:p>
    <w:p w14:paraId="1F36D738">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3 (4.44%)</w:t>
      </w:r>
      <w:r>
        <w:rPr>
          <w:rFonts w:hint="default" w:ascii="Times New Roman" w:hAnsi="Times New Roman" w:cs="Times New Roman"/>
        </w:rPr>
        <w:br w:type="textWrapping"/>
      </w:r>
      <w:r>
        <w:rPr>
          <w:rFonts w:hint="default" w:ascii="Times New Roman" w:hAnsi="Times New Roman" w:cs="Times New Roman"/>
        </w:rPr>
        <w:t>Provincial sports and education departments shall evaluate traditional sports schools based on established conditions and standards. Specific inspection and scoring criteria shall be formulated by local authorities based on pilot experience.</w:t>
      </w:r>
    </w:p>
    <w:p w14:paraId="5894361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6907CE0F">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October 1984, CPC Central Committee Notice on Further Developing Sports&gt; – 1 Coded Reference [7.49% Coverage]</w:t>
      </w:r>
    </w:p>
    <w:p w14:paraId="23575A6E">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Party committees at all levels must strengthen their leadership over sports work. Through Party rectification efforts, leadership teams of Sports Commissions should be strengthened in accordance with the “four modernizations” criteria for cadres. Young, innovative, and dedicated officials should be selected for leadership positions. Institutional structures should be improved to ensure comprehensive implementation of Party policies and to enhance the Sports Commissions’ leadership, coordination, and supervisory functions in advancing socialist sports with Chinese characteristics.</w:t>
      </w:r>
    </w:p>
    <w:p w14:paraId="030CBAA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26D28C0D">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April 1986, Instructions on Accelerating the Cultivation of High-Level Reserve Talent&gt; – 1 Coded Reference [9.20% Coverage]</w:t>
      </w:r>
    </w:p>
    <w:p w14:paraId="34318A0F">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All departments and sectors should assume responsibility for cultivating reserve talent. Sports Commissions at all levels should cooperate closely with educational authorities and schools to develop athletes with both cultural knowledge and high-level athletic skills. Enterprise-affiliated schools should be strengthened as key training bases. Socially organized training programs should receive support in access to facilities, competitions, and coaching resources. Outstanding contributors to youth sports training should be recognized and rewarded. Resources should be prioritized for cultivating high-level reserve talent and ensuring favorable training conditions.</w:t>
      </w:r>
    </w:p>
    <w:p w14:paraId="613D9033">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37EABB2B">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1986, Decision on Reforming the Sports System&gt; – 1 Coded Reference [3.64% Coverage]</w:t>
      </w:r>
    </w:p>
    <w:p w14:paraId="518C106D">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Reform of the sports leadership system: shift away from the overly centralized model in which sports were primarily administered within the Sports Commission system, and restore previously abolished or merged county-level Sports Commissions.</w:t>
      </w:r>
    </w:p>
    <w:p w14:paraId="17BB5D8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1678C56C">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July 1991, Interim Provisions on the Operation of Sports Schools&gt; – 2 Coded References [9.11% Coverage]</w:t>
      </w:r>
    </w:p>
    <w:p w14:paraId="1B8461E8">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1 (3.61%)</w:t>
      </w:r>
      <w:r>
        <w:rPr>
          <w:rFonts w:hint="default" w:ascii="Times New Roman" w:hAnsi="Times New Roman" w:cs="Times New Roman"/>
        </w:rPr>
        <w:br w:type="textWrapping"/>
      </w:r>
      <w:r>
        <w:rPr>
          <w:rFonts w:hint="default" w:ascii="Times New Roman" w:hAnsi="Times New Roman" w:cs="Times New Roman"/>
        </w:rPr>
        <w:t>Sports schools shall be jointly led by local sports and education administrative departments, with sports authorities taking primary responsibility. Sports authorities oversee overall management, while education authorities provide support in cultural instruction and teaching facilities. In matters of compulsory education and academic affairs, sports schools are subject to the management and supervision of local education authorities.</w:t>
      </w:r>
    </w:p>
    <w:p w14:paraId="7E68EF35">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2 (5.49%)</w:t>
      </w:r>
      <w:r>
        <w:rPr>
          <w:rFonts w:hint="default" w:ascii="Times New Roman" w:hAnsi="Times New Roman" w:cs="Times New Roman"/>
        </w:rPr>
        <w:br w:type="textWrapping"/>
      </w:r>
      <w:r>
        <w:rPr>
          <w:rFonts w:hint="default" w:ascii="Times New Roman" w:hAnsi="Times New Roman" w:cs="Times New Roman"/>
        </w:rPr>
        <w:t>Operational funding for sports schools is primarily allocated by sports administrative departments. Cultural education funding for affiliated classes shall be jointly determined by sports and education authorities in accordance with the Compulsory Education Law and local financial systems. Infrastructure investments must be jointly reported to provincial planning authorities. Standards for coaches’ and students’ meals shall follow relevant national regulations.</w:t>
      </w:r>
      <w:bookmarkStart w:id="0" w:name="_GoBack"/>
      <w:bookmarkEnd w:id="0"/>
    </w:p>
    <w:p w14:paraId="56567FD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3895EDEB">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1995, Sports Law of the People’s Republic of China&gt; – 1 Coded Reference [1.85% Coverage]</w:t>
      </w:r>
    </w:p>
    <w:p w14:paraId="647CAC9F">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National single-sport associations shall implement a registration system for athletes in their respective sports. Registered athletes may participate in relevant competitions and inter-team transfers in accordance with regulations issued by the sports administrative department of the State Council.</w:t>
      </w:r>
    </w:p>
    <w:p w14:paraId="573EECA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7" o:spt="1" style="height:1.5pt;width:432pt;" fillcolor="#A0A0A0" filled="t" stroked="f" coordsize="21600,21600" o:hr="t" o:hrstd="t" o:hralign="center">
            <v:path/>
            <v:fill on="t" focussize="0,0"/>
            <v:stroke on="f"/>
            <v:imagedata o:title=""/>
            <o:lock v:ext="edit"/>
            <w10:wrap type="none"/>
            <w10:anchorlock/>
          </v:rect>
        </w:pict>
      </w:r>
    </w:p>
    <w:p w14:paraId="1A13A2AE">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June 2022, Sports Law of the People’s Republic of China&gt; – 1 Coded Reference [0.33% Coverage]</w:t>
      </w:r>
    </w:p>
    <w:p w14:paraId="6585A3FA">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Sports administrative departments and education administrative departments shall ensure that athletes who are within the stage of compulsory education complete their compulsory education.</w:t>
      </w:r>
    </w:p>
    <w:p w14:paraId="25E1BE22">
      <w:pPr>
        <w:pStyle w:val="8"/>
        <w:rPr>
          <w:rFonts w:hint="default" w:ascii="Times New Roman" w:hAnsi="Times New Roman" w:eastAsia="Segoe UI" w:cs="Times New Roman"/>
          <w:sz w:val="20"/>
        </w:rPr>
      </w:pPr>
    </w:p>
    <w:p w14:paraId="3F3D3CD1">
      <w:pPr>
        <w:pStyle w:val="8"/>
        <w:rPr>
          <w:rFonts w:hint="default" w:ascii="Times New Roman" w:hAnsi="Times New Roman" w:eastAsia="Segoe UI" w:cs="Times New Roman"/>
          <w:sz w:val="20"/>
        </w:rPr>
      </w:pPr>
    </w:p>
    <w:sectPr>
      <w:pgSz w:w="11909" w:h="16834"/>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86"/>
    <w:family w:val="swiss"/>
    <w:pitch w:val="default"/>
    <w:sig w:usb0="E4002EFF" w:usb1="C000E47F"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B01E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4294967295" w:semiHidden="0" w:name="heading 1"/>
    <w:lsdException w:unhideWhenUsed="0" w:uiPriority="4294967295" w:semiHidden="0" w:name="heading 2"/>
    <w:lsdException w:unhideWhenUsed="0" w:uiPriority="4294967295" w:semiHidden="0" w:name="heading 3"/>
    <w:lsdException w:unhideWhenUsed="0" w:uiPriority="4294967295" w:semiHidden="0" w:name="heading 4"/>
    <w:lsdException w:unhideWhenUsed="0" w:uiPriority="4294967295" w:semiHidden="0" w:name="heading 5"/>
    <w:lsdException w:unhideWhenUsed="0" w:uiPriority="4294967295" w:semiHidden="0" w:name="heading 6"/>
    <w:lsdException w:unhideWhenUsed="0" w:uiPriority="4294967295" w:semiHidden="0" w:name="heading 7"/>
    <w:lsdException w:unhideWhenUsed="0" w:uiPriority="4294967295" w:semiHidden="0" w:name="heading 8"/>
    <w:lsdException w:unhideWhenUsed="0" w:uiPriority="4294967295" w:semiHidden="0" w:name="heading 9"/>
    <w:lsdException w:unhideWhenUsed="0" w:uiPriority="4294967295" w:semiHidden="0" w:name="index 1"/>
    <w:lsdException w:unhideWhenUsed="0" w:uiPriority="4294967295" w:semiHidden="0" w:name="index 2"/>
    <w:lsdException w:unhideWhenUsed="0" w:uiPriority="4294967295" w:semiHidden="0" w:name="index 3"/>
    <w:lsdException w:unhideWhenUsed="0" w:uiPriority="4294967295" w:semiHidden="0" w:name="index 4"/>
    <w:lsdException w:unhideWhenUsed="0" w:uiPriority="4294967295" w:semiHidden="0" w:name="index 5"/>
    <w:lsdException w:unhideWhenUsed="0" w:uiPriority="4294967295" w:semiHidden="0" w:name="index 6"/>
    <w:lsdException w:unhideWhenUsed="0" w:uiPriority="4294967295" w:semiHidden="0" w:name="index 7"/>
    <w:lsdException w:unhideWhenUsed="0" w:uiPriority="4294967295" w:semiHidden="0" w:name="index 8"/>
    <w:lsdException w:unhideWhenUsed="0" w:uiPriority="4294967295" w:semiHidden="0" w:name="index 9"/>
    <w:lsdException w:unhideWhenUsed="0" w:uiPriority="4294967295" w:semiHidden="0" w:name="toc 1"/>
    <w:lsdException w:unhideWhenUsed="0" w:uiPriority="4294967295" w:semiHidden="0" w:name="toc 2"/>
    <w:lsdException w:unhideWhenUsed="0" w:uiPriority="4294967295" w:semiHidden="0" w:name="toc 3"/>
    <w:lsdException w:unhideWhenUsed="0" w:uiPriority="4294967295" w:semiHidden="0" w:name="toc 4"/>
    <w:lsdException w:unhideWhenUsed="0" w:uiPriority="4294967295" w:semiHidden="0" w:name="toc 5"/>
    <w:lsdException w:unhideWhenUsed="0" w:uiPriority="4294967295" w:semiHidden="0" w:name="toc 6"/>
    <w:lsdException w:unhideWhenUsed="0" w:uiPriority="4294967295" w:semiHidden="0" w:name="toc 7"/>
    <w:lsdException w:unhideWhenUsed="0" w:uiPriority="4294967295" w:semiHidden="0" w:name="toc 8"/>
    <w:lsdException w:unhideWhenUsed="0" w:uiPriority="4294967295" w:semiHidden="0" w:name="toc 9"/>
    <w:lsdException w:unhideWhenUsed="0" w:uiPriority="4294967295" w:semiHidden="0" w:name="Normal Indent"/>
    <w:lsdException w:unhideWhenUsed="0" w:uiPriority="4294967295" w:semiHidden="0" w:name="footnote text"/>
    <w:lsdException w:unhideWhenUsed="0" w:uiPriority="4294967295" w:semiHidden="0" w:name="annotation text"/>
    <w:lsdException w:unhideWhenUsed="0" w:uiPriority="4294967295" w:semiHidden="0" w:name="header"/>
    <w:lsdException w:unhideWhenUsed="0" w:uiPriority="4294967295" w:semiHidden="0" w:name="footer"/>
    <w:lsdException w:unhideWhenUsed="0" w:uiPriority="4294967295" w:semiHidden="0" w:name="index heading"/>
    <w:lsdException w:unhideWhenUsed="0" w:uiPriority="4294967295" w:semiHidden="0" w:name="caption"/>
    <w:lsdException w:unhideWhenUsed="0" w:uiPriority="4294967295" w:semiHidden="0" w:name="table of figures"/>
    <w:lsdException w:unhideWhenUsed="0" w:uiPriority="4294967295" w:semiHidden="0" w:name="envelope address"/>
    <w:lsdException w:unhideWhenUsed="0" w:uiPriority="4294967295" w:semiHidden="0" w:name="envelope return"/>
    <w:lsdException w:unhideWhenUsed="0" w:uiPriority="4294967295" w:semiHidden="0" w:name="footnote reference"/>
    <w:lsdException w:unhideWhenUsed="0" w:uiPriority="4294967295" w:semiHidden="0" w:name="annotation reference"/>
    <w:lsdException w:unhideWhenUsed="0" w:uiPriority="4294967295" w:semiHidden="0" w:name="line number"/>
    <w:lsdException w:unhideWhenUsed="0" w:uiPriority="4294967295" w:semiHidden="0" w:name="page number"/>
    <w:lsdException w:unhideWhenUsed="0" w:uiPriority="4294967295" w:semiHidden="0" w:name="endnote reference"/>
    <w:lsdException w:unhideWhenUsed="0" w:uiPriority="4294967295" w:semiHidden="0" w:name="endnote text"/>
    <w:lsdException w:unhideWhenUsed="0" w:uiPriority="4294967295" w:semiHidden="0" w:name="table of authorities"/>
    <w:lsdException w:unhideWhenUsed="0" w:uiPriority="4294967295" w:semiHidden="0" w:name="macro"/>
    <w:lsdException w:unhideWhenUsed="0" w:uiPriority="4294967295" w:semiHidden="0" w:name="toa heading"/>
    <w:lsdException w:unhideWhenUsed="0" w:uiPriority="4294967295" w:semiHidden="0" w:name="List"/>
    <w:lsdException w:unhideWhenUsed="0" w:uiPriority="4294967295" w:semiHidden="0" w:name="List Bullet"/>
    <w:lsdException w:unhideWhenUsed="0" w:uiPriority="4294967295" w:semiHidden="0" w:name="List Number"/>
    <w:lsdException w:unhideWhenUsed="0" w:uiPriority="4294967295" w:semiHidden="0" w:name="List 2"/>
    <w:lsdException w:unhideWhenUsed="0" w:uiPriority="4294967295" w:semiHidden="0" w:name="List 3"/>
    <w:lsdException w:unhideWhenUsed="0" w:uiPriority="4294967295" w:semiHidden="0" w:name="List 4"/>
    <w:lsdException w:unhideWhenUsed="0" w:uiPriority="4294967295" w:semiHidden="0" w:name="List 5"/>
    <w:lsdException w:unhideWhenUsed="0" w:uiPriority="4294967295" w:semiHidden="0" w:name="List Bullet 2"/>
    <w:lsdException w:unhideWhenUsed="0" w:uiPriority="4294967295" w:semiHidden="0" w:name="List Bullet 3"/>
    <w:lsdException w:unhideWhenUsed="0" w:uiPriority="4294967295" w:semiHidden="0" w:name="List Bullet 4"/>
    <w:lsdException w:unhideWhenUsed="0" w:uiPriority="4294967295" w:semiHidden="0" w:name="List Bullet 5"/>
    <w:lsdException w:unhideWhenUsed="0" w:uiPriority="4294967295" w:semiHidden="0" w:name="List Number 2"/>
    <w:lsdException w:unhideWhenUsed="0" w:uiPriority="4294967295" w:semiHidden="0" w:name="List Number 3"/>
    <w:lsdException w:unhideWhenUsed="0" w:uiPriority="4294967295" w:semiHidden="0" w:name="List Number 4"/>
    <w:lsdException w:unhideWhenUsed="0" w:uiPriority="4294967295" w:semiHidden="0" w:name="List Number 5"/>
    <w:lsdException w:unhideWhenUsed="0" w:uiPriority="4294967295" w:semiHidden="0" w:name="Title"/>
    <w:lsdException w:unhideWhenUsed="0" w:uiPriority="4294967295" w:semiHidden="0" w:name="Closing"/>
    <w:lsdException w:unhideWhenUsed="0" w:uiPriority="4294967295" w:semiHidden="0" w:name="Signature"/>
    <w:lsdException w:qFormat="1" w:unhideWhenUsed="0" w:uiPriority="0" w:semiHidden="0" w:name="Default Paragraph Font"/>
    <w:lsdException w:qFormat="1" w:unhideWhenUsed="0" w:uiPriority="0" w:semiHidden="0" w:name="Body Text"/>
    <w:lsdException w:unhideWhenUsed="0" w:uiPriority="4294967295" w:semiHidden="0" w:name="Body Text Indent"/>
    <w:lsdException w:unhideWhenUsed="0" w:uiPriority="4294967295" w:semiHidden="0" w:name="List Continue"/>
    <w:lsdException w:unhideWhenUsed="0" w:uiPriority="4294967295" w:semiHidden="0" w:name="List Continue 2"/>
    <w:lsdException w:unhideWhenUsed="0" w:uiPriority="4294967295" w:semiHidden="0" w:name="List Continue 3"/>
    <w:lsdException w:unhideWhenUsed="0" w:uiPriority="4294967295" w:semiHidden="0" w:name="List Continue 4"/>
    <w:lsdException w:unhideWhenUsed="0" w:uiPriority="4294967295" w:semiHidden="0" w:name="List Continue 5"/>
    <w:lsdException w:unhideWhenUsed="0" w:uiPriority="4294967295" w:semiHidden="0" w:name="Message Header"/>
    <w:lsdException w:unhideWhenUsed="0" w:uiPriority="4294967295" w:semiHidden="0" w:name="Subtitle"/>
    <w:lsdException w:unhideWhenUsed="0" w:uiPriority="4294967295" w:semiHidden="0" w:name="Salutation"/>
    <w:lsdException w:unhideWhenUsed="0" w:uiPriority="4294967295" w:semiHidden="0" w:name="Date"/>
    <w:lsdException w:unhideWhenUsed="0" w:uiPriority="4294967295" w:semiHidden="0" w:name="Body Text First Indent"/>
    <w:lsdException w:unhideWhenUsed="0" w:uiPriority="4294967295" w:semiHidden="0" w:name="Body Text First Indent 2"/>
    <w:lsdException w:unhideWhenUsed="0" w:uiPriority="4294967295" w:semiHidden="0" w:name="Note Heading"/>
    <w:lsdException w:unhideWhenUsed="0" w:uiPriority="4294967295" w:semiHidden="0" w:name="Body Text 2"/>
    <w:lsdException w:unhideWhenUsed="0" w:uiPriority="4294967295" w:semiHidden="0" w:name="Body Text 3"/>
    <w:lsdException w:unhideWhenUsed="0" w:uiPriority="4294967295" w:semiHidden="0" w:name="Body Text Indent 2"/>
    <w:lsdException w:unhideWhenUsed="0" w:uiPriority="4294967295" w:semiHidden="0" w:name="Body Text Indent 3"/>
    <w:lsdException w:unhideWhenUsed="0" w:uiPriority="4294967295" w:semiHidden="0" w:name="Block Text"/>
    <w:lsdException w:unhideWhenUsed="0" w:uiPriority="4294967295" w:semiHidden="0" w:name="Hyperlink"/>
    <w:lsdException w:unhideWhenUsed="0" w:uiPriority="4294967295" w:semiHidden="0" w:name="FollowedHyperlink"/>
    <w:lsdException w:unhideWhenUsed="0" w:uiPriority="4294967295" w:semiHidden="0" w:name="Strong"/>
    <w:lsdException w:unhideWhenUsed="0" w:uiPriority="4294967295" w:semiHidden="0" w:name="Emphasis"/>
    <w:lsdException w:unhideWhenUsed="0" w:uiPriority="4294967295" w:semiHidden="0" w:name="Document Map"/>
    <w:lsdException w:unhideWhenUsed="0" w:uiPriority="4294967295" w:semiHidden="0" w:name="Plain Text"/>
    <w:lsdException w:unhideWhenUsed="0" w:uiPriority="4294967295" w:semiHidden="0" w:name="E-mail Signature"/>
    <w:lsdException w:qFormat="1" w:unhideWhenUsed="0" w:uiPriority="0" w:semiHidden="0" w:name="Normal (Web)"/>
    <w:lsdException w:unhideWhenUsed="0" w:uiPriority="4294967295" w:semiHidden="0" w:name="HTML Acronym"/>
    <w:lsdException w:unhideWhenUsed="0" w:uiPriority="4294967295" w:semiHidden="0" w:name="HTML Address"/>
    <w:lsdException w:unhideWhenUsed="0" w:uiPriority="4294967295" w:semiHidden="0" w:name="HTML Cite"/>
    <w:lsdException w:unhideWhenUsed="0" w:uiPriority="4294967295" w:semiHidden="0" w:name="HTML Code"/>
    <w:lsdException w:unhideWhenUsed="0" w:uiPriority="4294967295" w:semiHidden="0" w:name="HTML Definition"/>
    <w:lsdException w:unhideWhenUsed="0" w:uiPriority="4294967295" w:semiHidden="0" w:name="HTML Keyboard"/>
    <w:lsdException w:unhideWhenUsed="0" w:uiPriority="4294967295" w:semiHidden="0" w:name="HTML Preformatted"/>
    <w:lsdException w:unhideWhenUsed="0" w:uiPriority="4294967295" w:semiHidden="0" w:name="HTML Sample"/>
    <w:lsdException w:unhideWhenUsed="0" w:uiPriority="4294967295" w:semiHidden="0" w:name="HTML Typewriter"/>
    <w:lsdException w:unhideWhenUsed="0" w:uiPriority="4294967295" w:semiHidden="0" w:name="HTML Variable"/>
    <w:lsdException w:unhideWhenUsed="0" w:uiPriority="4294967295" w:semiHidden="0" w:name="Normal Table"/>
    <w:lsdException w:unhideWhenUsed="0" w:uiPriority="4294967295" w:semiHidden="0" w:name="annotation subject"/>
    <w:lsdException w:unhideWhenUsed="0" w:uiPriority="4294967295" w:semiHidden="0" w:name="Table Simple 1"/>
    <w:lsdException w:unhideWhenUsed="0" w:uiPriority="4294967295" w:semiHidden="0" w:name="Table Simple 2"/>
    <w:lsdException w:unhideWhenUsed="0" w:uiPriority="4294967295" w:semiHidden="0" w:name="Table Simple 3"/>
    <w:lsdException w:unhideWhenUsed="0" w:uiPriority="4294967295" w:semiHidden="0" w:name="Table Classic 1"/>
    <w:lsdException w:unhideWhenUsed="0" w:uiPriority="4294967295" w:semiHidden="0" w:name="Table Classic 2"/>
    <w:lsdException w:unhideWhenUsed="0" w:uiPriority="4294967295" w:semiHidden="0" w:name="Table Classic 3"/>
    <w:lsdException w:unhideWhenUsed="0" w:uiPriority="4294967295" w:semiHidden="0" w:name="Table Classic 4"/>
    <w:lsdException w:unhideWhenUsed="0" w:uiPriority="4294967295" w:semiHidden="0" w:name="Table Colorful 1"/>
    <w:lsdException w:unhideWhenUsed="0" w:uiPriority="4294967295" w:semiHidden="0" w:name="Table Colorful 2"/>
    <w:lsdException w:unhideWhenUsed="0" w:uiPriority="4294967295" w:semiHidden="0" w:name="Table Colorful 3"/>
    <w:lsdException w:unhideWhenUsed="0" w:uiPriority="4294967295" w:semiHidden="0" w:name="Table Columns 1"/>
    <w:lsdException w:unhideWhenUsed="0" w:uiPriority="4294967295" w:semiHidden="0" w:name="Table Columns 2"/>
    <w:lsdException w:unhideWhenUsed="0" w:uiPriority="4294967295" w:semiHidden="0" w:name="Table Columns 3"/>
    <w:lsdException w:unhideWhenUsed="0" w:uiPriority="4294967295" w:semiHidden="0" w:name="Table Columns 4"/>
    <w:lsdException w:unhideWhenUsed="0" w:uiPriority="4294967295" w:semiHidden="0" w:name="Table Columns 5"/>
    <w:lsdException w:unhideWhenUsed="0" w:uiPriority="4294967295" w:semiHidden="0" w:name="Table Grid 1"/>
    <w:lsdException w:unhideWhenUsed="0" w:uiPriority="4294967295" w:semiHidden="0" w:name="Table Grid 2"/>
    <w:lsdException w:unhideWhenUsed="0" w:uiPriority="4294967295" w:semiHidden="0" w:name="Table Grid 3"/>
    <w:lsdException w:unhideWhenUsed="0" w:uiPriority="4294967295" w:semiHidden="0" w:name="Table Grid 4"/>
    <w:lsdException w:unhideWhenUsed="0" w:uiPriority="4294967295" w:semiHidden="0" w:name="Table Grid 5"/>
    <w:lsdException w:unhideWhenUsed="0" w:uiPriority="4294967295" w:semiHidden="0" w:name="Table Grid 6"/>
    <w:lsdException w:unhideWhenUsed="0" w:uiPriority="4294967295" w:semiHidden="0" w:name="Table Grid 7"/>
    <w:lsdException w:unhideWhenUsed="0" w:uiPriority="4294967295" w:semiHidden="0" w:name="Table Grid 8"/>
    <w:lsdException w:unhideWhenUsed="0" w:uiPriority="4294967295" w:semiHidden="0" w:name="Table List 1"/>
    <w:lsdException w:unhideWhenUsed="0" w:uiPriority="4294967295" w:semiHidden="0" w:name="Table List 2"/>
    <w:lsdException w:unhideWhenUsed="0" w:uiPriority="4294967295" w:semiHidden="0" w:name="Table List 3"/>
    <w:lsdException w:unhideWhenUsed="0" w:uiPriority="4294967295" w:semiHidden="0" w:name="Table List 4"/>
    <w:lsdException w:unhideWhenUsed="0" w:uiPriority="4294967295" w:semiHidden="0" w:name="Table List 5"/>
    <w:lsdException w:unhideWhenUsed="0" w:uiPriority="4294967295" w:semiHidden="0" w:name="Table List 6"/>
    <w:lsdException w:unhideWhenUsed="0" w:uiPriority="4294967295" w:semiHidden="0" w:name="Table List 7"/>
    <w:lsdException w:unhideWhenUsed="0" w:uiPriority="4294967295" w:semiHidden="0" w:name="Table List 8"/>
    <w:lsdException w:unhideWhenUsed="0" w:uiPriority="4294967295" w:semiHidden="0" w:name="Table 3D effects 1"/>
    <w:lsdException w:unhideWhenUsed="0" w:uiPriority="4294967295" w:semiHidden="0" w:name="Table 3D effects 2"/>
    <w:lsdException w:unhideWhenUsed="0" w:uiPriority="4294967295" w:semiHidden="0" w:name="Table 3D effects 3"/>
    <w:lsdException w:unhideWhenUsed="0" w:uiPriority="4294967295" w:semiHidden="0" w:name="Table Contemporary"/>
    <w:lsdException w:unhideWhenUsed="0" w:uiPriority="4294967295" w:semiHidden="0" w:name="Table Elegant"/>
    <w:lsdException w:unhideWhenUsed="0" w:uiPriority="4294967295" w:semiHidden="0" w:name="Table Professional"/>
    <w:lsdException w:unhideWhenUsed="0" w:uiPriority="4294967295" w:semiHidden="0" w:name="Table Subtle 1"/>
    <w:lsdException w:unhideWhenUsed="0" w:uiPriority="4294967295" w:semiHidden="0" w:name="Table Subtle 2"/>
    <w:lsdException w:unhideWhenUsed="0" w:uiPriority="4294967295" w:semiHidden="0" w:name="Table Web 1"/>
    <w:lsdException w:unhideWhenUsed="0" w:uiPriority="4294967295" w:semiHidden="0" w:name="Table Web 2"/>
    <w:lsdException w:unhideWhenUsed="0" w:uiPriority="4294967295" w:semiHidden="0" w:name="Table Web 3"/>
    <w:lsdException w:unhideWhenUsed="0" w:uiPriority="4294967295" w:semiHidden="0" w:name="Balloon Text"/>
    <w:lsdException w:unhideWhenUsed="0" w:uiPriority="4294967295" w:semiHidden="0" w:name="Table Grid"/>
    <w:lsdException w:unhideWhenUsed="0" w:uiPriority="4294967295"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pacing w:line="400" w:lineRule="exact"/>
      <w:ind w:firstLine="643"/>
      <w:jc w:val="both"/>
    </w:pPr>
    <w:rPr>
      <w:rFonts w:ascii="Times New Roman" w:hAnsi="Times New Roman" w:eastAsia="Times New Roman"/>
      <w:sz w:val="24"/>
    </w:rPr>
  </w:style>
  <w:style w:type="paragraph" w:styleId="2">
    <w:name w:val="heading 3"/>
    <w:basedOn w:val="1"/>
    <w:next w:val="1"/>
    <w:uiPriority w:val="4294967295"/>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qFormat/>
    <w:uiPriority w:val="0"/>
  </w:style>
  <w:style w:type="table" w:default="1" w:styleId="5">
    <w:name w:val="Normal Table"/>
    <w:uiPriority w:val="4294967295"/>
    <w:tblPr>
      <w:tblCellMar>
        <w:top w:w="0" w:type="dxa"/>
        <w:left w:w="108" w:type="dxa"/>
        <w:bottom w:w="0" w:type="dxa"/>
        <w:right w:w="108" w:type="dxa"/>
      </w:tblCellMar>
    </w:tblPr>
  </w:style>
  <w:style w:type="paragraph" w:styleId="3">
    <w:name w:val="Body Text"/>
    <w:basedOn w:val="1"/>
    <w:qFormat/>
    <w:uiPriority w:val="0"/>
    <w:pPr>
      <w:spacing w:line="240" w:lineRule="auto"/>
      <w:ind w:firstLine="0"/>
      <w:jc w:val="left"/>
    </w:pPr>
    <w:rPr>
      <w:rFonts w:ascii="宋体" w:hAnsi="宋体" w:eastAsia="宋体"/>
      <w:color w:val="000000"/>
      <w:sz w:val="21"/>
    </w:rPr>
  </w:style>
  <w:style w:type="paragraph" w:styleId="4">
    <w:name w:val="Normal (Web)"/>
    <w:basedOn w:val="1"/>
    <w:qFormat/>
    <w:uiPriority w:val="0"/>
    <w:pPr>
      <w:jc w:val="left"/>
    </w:pPr>
  </w:style>
  <w:style w:type="character" w:styleId="7">
    <w:name w:val="Strong"/>
    <w:basedOn w:val="6"/>
    <w:uiPriority w:val="4294967295"/>
    <w:rPr>
      <w:b/>
    </w:rPr>
  </w:style>
  <w:style w:type="paragraph" w:customStyle="1" w:styleId="8">
    <w:name w:val="[Normal]"/>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宋体" w:hAnsi="宋体" w:eastAsia="宋体"/>
      <w:color w:val="auto"/>
      <w:sz w:val="24"/>
      <w:shd w:val="clear" w:fill="auto"/>
    </w:rPr>
  </w:style>
  <w:style w:type="paragraph" w:customStyle="1" w:styleId="9">
    <w:name w:val="Table Text"/>
    <w:basedOn w:val="1"/>
    <w:qFormat/>
    <w:uiPriority w:val="0"/>
    <w:pPr>
      <w:spacing w:line="240" w:lineRule="auto"/>
      <w:ind w:firstLine="0"/>
      <w:jc w:val="left"/>
    </w:pPr>
    <w:rPr>
      <w:rFonts w:ascii="微软雅黑" w:hAnsi="微软雅黑" w:eastAsia="微软雅黑"/>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8240</Words>
  <Characters>8819</Characters>
  <TotalTime>1</TotalTime>
  <ScaleCrop>false</ScaleCrop>
  <LinksUpToDate>false</LinksUpToDate>
  <CharactersWithSpaces>9344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2026-03-24T08:44:13Z</dcterms:created>
  <dc:creator>shiyi</dc:creator>
  <cp:lastModifiedBy>CI</cp:lastModifiedBy>
  <dcterms:modified xsi:type="dcterms:W3CDTF">2026-03-24T08:45:45Z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eyJoZGlkIjoiOTM3YTZhMmQ5YjRkYWU4ZjU1Y2RhODcyN2E4MDQ1YWIiLCJ1c2VySWQiOiI0MzUzNTQ5NTIifQ==</vt:lpwstr>
  </property>
  <property fmtid="{D5CDD505-2E9C-101B-9397-08002B2CF9AE}" pid="3" name="KSOProductBuildVer">
    <vt:lpwstr>2052-12.1.0.25225</vt:lpwstr>
  </property>
  <property fmtid="{D5CDD505-2E9C-101B-9397-08002B2CF9AE}" pid="4" name="ICV">
    <vt:lpwstr>79A1124E478E46AD8DF35B18AF48756E_13</vt:lpwstr>
  </property>
</Properties>
</file>